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BC64E1">
        <w:rPr>
          <w:b w:val="0"/>
          <w:sz w:val="24"/>
          <w:szCs w:val="24"/>
        </w:rPr>
        <w:t>21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E744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DE744D">
        <w:rPr>
          <w:b w:val="0"/>
          <w:sz w:val="24"/>
          <w:szCs w:val="24"/>
        </w:rPr>
        <w:t xml:space="preserve"> </w:t>
      </w:r>
      <w:r w:rsidR="002546C9">
        <w:rPr>
          <w:b w:val="0"/>
          <w:sz w:val="24"/>
          <w:szCs w:val="24"/>
        </w:rPr>
        <w:t>У.Т.А.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Pr="00E66FC4" w:rsidRDefault="00913ACF" w:rsidP="00E66F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E7F67">
        <w:rPr>
          <w:color w:val="auto"/>
        </w:rPr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DE744D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DE744D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DE744D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E744D">
        <w:rPr>
          <w:sz w:val="24"/>
        </w:rPr>
        <w:t xml:space="preserve"> </w:t>
      </w:r>
      <w:r w:rsidR="00101067">
        <w:rPr>
          <w:sz w:val="24"/>
        </w:rPr>
        <w:t>1</w:t>
      </w:r>
      <w:r w:rsidR="00573D22">
        <w:rPr>
          <w:sz w:val="24"/>
        </w:rPr>
        <w:t>5</w:t>
      </w:r>
      <w:r w:rsidR="00C70C1B">
        <w:rPr>
          <w:sz w:val="24"/>
        </w:rPr>
        <w:t>.02.2021</w:t>
      </w:r>
      <w:r w:rsidR="00A6312B">
        <w:rPr>
          <w:sz w:val="24"/>
        </w:rPr>
        <w:t>г.</w:t>
      </w:r>
      <w:r w:rsidR="00DE744D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2546C9">
        <w:rPr>
          <w:sz w:val="24"/>
          <w:szCs w:val="24"/>
        </w:rPr>
        <w:t>Ш.</w:t>
      </w:r>
      <w:r w:rsidR="00BC64E1">
        <w:rPr>
          <w:sz w:val="24"/>
          <w:szCs w:val="24"/>
        </w:rPr>
        <w:t>В.И.</w:t>
      </w:r>
      <w:r w:rsidR="00DE744D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E744D">
        <w:rPr>
          <w:sz w:val="24"/>
        </w:rPr>
        <w:t xml:space="preserve"> </w:t>
      </w:r>
      <w:r w:rsidR="002546C9">
        <w:rPr>
          <w:sz w:val="24"/>
        </w:rPr>
        <w:t>У.</w:t>
      </w:r>
      <w:r w:rsidR="00BC64E1">
        <w:rPr>
          <w:sz w:val="24"/>
        </w:rPr>
        <w:t>Т.А.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2546C9">
        <w:rPr>
          <w:color w:val="auto"/>
        </w:rPr>
        <w:t>Ш.</w:t>
      </w:r>
      <w:r w:rsidR="00BC64E1">
        <w:rPr>
          <w:color w:val="auto"/>
        </w:rPr>
        <w:t>В.И.</w:t>
      </w:r>
      <w:r w:rsidR="00DE744D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DE744D">
        <w:t xml:space="preserve"> </w:t>
      </w:r>
      <w:r w:rsidR="002546C9">
        <w:t>У.</w:t>
      </w:r>
      <w:r w:rsidR="00BC64E1">
        <w:t>Т.А.</w:t>
      </w:r>
      <w:r w:rsidR="00F973BC">
        <w:t xml:space="preserve">, </w:t>
      </w:r>
      <w:r w:rsidR="00291806">
        <w:t xml:space="preserve">в </w:t>
      </w:r>
      <w:proofErr w:type="gramStart"/>
      <w:r w:rsidR="00291806">
        <w:t>которой</w:t>
      </w:r>
      <w:proofErr w:type="gramEnd"/>
      <w:r w:rsidR="00DE744D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DE744D">
        <w:rPr>
          <w:szCs w:val="24"/>
        </w:rPr>
        <w:t xml:space="preserve"> </w:t>
      </w:r>
      <w:r w:rsidR="00E608C3">
        <w:rPr>
          <w:szCs w:val="24"/>
        </w:rPr>
        <w:t xml:space="preserve">осуществлял защиту </w:t>
      </w:r>
      <w:r w:rsidR="00832813">
        <w:rPr>
          <w:szCs w:val="24"/>
        </w:rPr>
        <w:t>доверителя</w:t>
      </w:r>
      <w:r w:rsidR="00DE744D">
        <w:rPr>
          <w:szCs w:val="24"/>
        </w:rPr>
        <w:t xml:space="preserve"> </w:t>
      </w:r>
      <w:r w:rsidR="00E608C3">
        <w:rPr>
          <w:szCs w:val="24"/>
        </w:rPr>
        <w:t>по уголовному делу</w:t>
      </w:r>
      <w:r w:rsidR="00101067">
        <w:rPr>
          <w:szCs w:val="24"/>
        </w:rPr>
        <w:t xml:space="preserve"> на основании соглашения.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>По утверждению заявителя, адвокат ненадлежащим образом исполнял свои профессиональные обязанности</w:t>
      </w:r>
      <w:r w:rsidR="00101067">
        <w:t xml:space="preserve">, а именно: </w:t>
      </w:r>
      <w:r w:rsidR="00105C25">
        <w:rPr>
          <w:szCs w:val="24"/>
        </w:rPr>
        <w:t>халатно относилась к защите заявителя, в результат</w:t>
      </w:r>
      <w:r w:rsidR="00E608C3">
        <w:rPr>
          <w:szCs w:val="24"/>
        </w:rPr>
        <w:t xml:space="preserve">е чего он оговорил себя; </w:t>
      </w:r>
      <w:r w:rsidR="00105C25">
        <w:rPr>
          <w:szCs w:val="24"/>
        </w:rPr>
        <w:t>не выдала экземпляр соглашения и квитанцию, подтвер</w:t>
      </w:r>
      <w:r w:rsidR="00BC64E1">
        <w:rPr>
          <w:szCs w:val="24"/>
        </w:rPr>
        <w:t>ждающую внесение вознаграждения,</w:t>
      </w:r>
      <w:r w:rsidR="00105C25">
        <w:rPr>
          <w:szCs w:val="24"/>
        </w:rPr>
        <w:t xml:space="preserve"> третьему лицу, с которым было заключено соглашение на защиту заявителя.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2546C9">
        <w:t>У.</w:t>
      </w:r>
      <w:r w:rsidR="00BC64E1">
        <w:t>Т.А,</w:t>
      </w:r>
      <w:r w:rsidR="00DE744D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101067" w:rsidRPr="00C70C1B" w:rsidRDefault="00913ACF" w:rsidP="00BC64E1">
      <w:pPr>
        <w:ind w:firstLine="709"/>
        <w:jc w:val="both"/>
      </w:pPr>
      <w:r w:rsidRPr="00C70C1B">
        <w:t>К</w:t>
      </w:r>
      <w:r w:rsidR="008A2D5F" w:rsidRPr="00C70C1B">
        <w:t xml:space="preserve"> жалобе </w:t>
      </w:r>
      <w:r w:rsidR="00BC64E1">
        <w:t>документы не приложены.</w:t>
      </w:r>
    </w:p>
    <w:p w:rsidR="00963329" w:rsidRDefault="00E608C3" w:rsidP="00E608C3">
      <w:pPr>
        <w:pStyle w:val="a9"/>
        <w:ind w:firstLine="708"/>
        <w:jc w:val="both"/>
      </w:pPr>
      <w:r>
        <w:t xml:space="preserve">В письменных объяснениях адвокат возражал против доводов жалобы и пояснил, что </w:t>
      </w:r>
      <w:r w:rsidR="00393787">
        <w:t xml:space="preserve">экземпляр соглашения был выдан сожительнице заявителя, фото платежной квитанции было также ей выслано, адвокат намеревалась передать квитанцию при личной встрече. Данные обстоятельства уже являлись предметом дисциплинарного производства и были </w:t>
      </w:r>
      <w:r w:rsidR="00963329">
        <w:t xml:space="preserve">ранее </w:t>
      </w:r>
      <w:r w:rsidR="00393787">
        <w:t>рассмотрены к</w:t>
      </w:r>
      <w:r w:rsidR="00963329">
        <w:t>валификационной комиссией АПМО, в результате чего в действиях (бездействии) адвоката не было установлено нарушений.</w:t>
      </w:r>
    </w:p>
    <w:p w:rsidR="00E608C3" w:rsidRDefault="003B65A0" w:rsidP="00E608C3">
      <w:pPr>
        <w:pStyle w:val="a9"/>
        <w:ind w:firstLine="708"/>
        <w:jc w:val="both"/>
      </w:pPr>
      <w:r>
        <w:t>Позиция заявителя изначально сводилась к признанию вины. Адвокат отмечает, что сожительница заявителя просила гарантировать полное прекращение уголовного преследования заявителя, чего адвокат гарантировать не мог. Какие-либо показания совместно со следователем адвокат не составлял.</w:t>
      </w:r>
      <w:r w:rsidR="009B2FD3">
        <w:t xml:space="preserve"> Оснований для самооговора со слов заявителя не имелось.</w:t>
      </w:r>
    </w:p>
    <w:p w:rsidR="00E608C3" w:rsidRPr="00150CF2" w:rsidRDefault="00E608C3" w:rsidP="00150CF2">
      <w:pPr>
        <w:pStyle w:val="a9"/>
        <w:ind w:firstLine="708"/>
        <w:jc w:val="both"/>
      </w:pPr>
      <w:r>
        <w:t>К письменным объяснениям адвоката</w:t>
      </w:r>
      <w:r w:rsidR="00150CF2">
        <w:t xml:space="preserve"> копии документов не</w:t>
      </w:r>
      <w:r>
        <w:t xml:space="preserve"> прило</w:t>
      </w:r>
      <w:r w:rsidR="00150CF2">
        <w:t>жены.</w:t>
      </w:r>
    </w:p>
    <w:p w:rsidR="00E608C3" w:rsidRPr="000E7638" w:rsidRDefault="00DE744D" w:rsidP="009E7F6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9E7F67" w:rsidRPr="009E7F67">
        <w:rPr>
          <w:color w:val="auto"/>
          <w:szCs w:val="24"/>
        </w:rPr>
        <w:t xml:space="preserve">г. заявитель </w:t>
      </w:r>
      <w:r w:rsidR="00E66FC4">
        <w:rPr>
          <w:color w:val="auto"/>
          <w:szCs w:val="24"/>
        </w:rPr>
        <w:t xml:space="preserve">и адвокат </w:t>
      </w:r>
      <w:r w:rsidR="009E7F67" w:rsidRPr="009E7F67">
        <w:rPr>
          <w:color w:val="auto"/>
          <w:szCs w:val="24"/>
        </w:rPr>
        <w:t>в заседание комиссии посредств</w:t>
      </w:r>
      <w:r w:rsidR="00E66FC4">
        <w:rPr>
          <w:color w:val="auto"/>
          <w:szCs w:val="24"/>
        </w:rPr>
        <w:t>ом видеоконференцсвязи не явились</w:t>
      </w:r>
      <w:r w:rsidR="009E7F67" w:rsidRPr="009E7F67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E66FC4">
        <w:rPr>
          <w:color w:val="auto"/>
          <w:szCs w:val="24"/>
        </w:rPr>
        <w:t>ы</w:t>
      </w:r>
      <w:r w:rsidR="009E7F67" w:rsidRPr="009E7F67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E66FC4">
        <w:rPr>
          <w:color w:val="auto"/>
          <w:szCs w:val="24"/>
        </w:rPr>
        <w:t>ы</w:t>
      </w:r>
      <w:r>
        <w:rPr>
          <w:color w:val="auto"/>
          <w:szCs w:val="24"/>
        </w:rPr>
        <w:t>, поэтому на основании п.3 ст.</w:t>
      </w:r>
      <w:r w:rsidR="009E7F67" w:rsidRPr="009E7F67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</w:t>
      </w:r>
      <w:r w:rsidR="00E66FC4">
        <w:rPr>
          <w:color w:val="auto"/>
          <w:szCs w:val="24"/>
        </w:rPr>
        <w:t>сциплинарного производства в их</w:t>
      </w:r>
      <w:r w:rsidR="009E7F67" w:rsidRPr="009E7F67">
        <w:rPr>
          <w:color w:val="auto"/>
          <w:szCs w:val="24"/>
        </w:rPr>
        <w:t xml:space="preserve"> отсутствие.</w:t>
      </w:r>
    </w:p>
    <w:p w:rsidR="00E608C3" w:rsidRDefault="00E608C3" w:rsidP="00E608C3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3B65A0" w:rsidRPr="00FB079A" w:rsidRDefault="003B65A0" w:rsidP="003B65A0">
      <w:pPr>
        <w:ind w:firstLine="708"/>
        <w:jc w:val="both"/>
        <w:rPr>
          <w:szCs w:val="24"/>
        </w:rPr>
      </w:pPr>
      <w:r w:rsidRPr="00FB079A">
        <w:lastRenderedPageBreak/>
        <w:t xml:space="preserve">Адвокат </w:t>
      </w:r>
      <w:r w:rsidR="002546C9">
        <w:t>У.</w:t>
      </w:r>
      <w:r>
        <w:t>Т.А.</w:t>
      </w:r>
      <w:r w:rsidRPr="00FB079A">
        <w:t xml:space="preserve"> на основании соглашения </w:t>
      </w:r>
      <w:r>
        <w:t>осуществляла защиту заявителя по уголовному делу</w:t>
      </w:r>
      <w:r w:rsidRPr="00FB079A">
        <w:t>.</w:t>
      </w:r>
    </w:p>
    <w:p w:rsidR="003B65A0" w:rsidRDefault="00DE744D" w:rsidP="003B65A0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силу п.п.1 п.1 ст.</w:t>
      </w:r>
      <w:r w:rsidR="003B65A0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п.1 ст.</w:t>
      </w:r>
      <w:r w:rsidR="003B65A0">
        <w:rPr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3B65A0" w:rsidRDefault="00DE744D" w:rsidP="003B65A0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п.1 ч.1 ст.</w:t>
      </w:r>
      <w:r w:rsidR="003B65A0">
        <w:rPr>
          <w:szCs w:val="24"/>
        </w:rPr>
        <w:t xml:space="preserve">23 Кодекса профессиональной этики адвоката, </w:t>
      </w:r>
      <w:r w:rsidR="003B65A0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 </w:t>
      </w:r>
    </w:p>
    <w:p w:rsidR="003B65A0" w:rsidRDefault="00DE744D" w:rsidP="003B65A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п.п.7 п.2 ст.</w:t>
      </w:r>
      <w:r w:rsidR="003B65A0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</w:t>
      </w:r>
      <w:r>
        <w:rPr>
          <w:rFonts w:eastAsia="Calibri"/>
          <w:color w:val="auto"/>
          <w:szCs w:val="24"/>
        </w:rPr>
        <w:t xml:space="preserve"> свои требования. Согласно п.п.6 п.</w:t>
      </w:r>
      <w:r w:rsidR="003B65A0">
        <w:rPr>
          <w:rFonts w:eastAsia="Calibri"/>
          <w:color w:val="auto"/>
          <w:szCs w:val="24"/>
        </w:rPr>
        <w:t xml:space="preserve">2 </w:t>
      </w:r>
      <w:r>
        <w:rPr>
          <w:rFonts w:eastAsia="Calibri"/>
          <w:color w:val="auto"/>
          <w:szCs w:val="24"/>
        </w:rPr>
        <w:t>ст.</w:t>
      </w:r>
      <w:r w:rsidR="003B65A0">
        <w:rPr>
          <w:rFonts w:eastAsia="Calibri"/>
          <w:color w:val="auto"/>
          <w:szCs w:val="24"/>
        </w:rPr>
        <w:t>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3B65A0" w:rsidRDefault="003B65A0" w:rsidP="009B2FD3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В рассматриваемом дисциплинарном производстве заявителем не представлено доказательств ненадлежащего оказания адвокатом юридической помощи. Так, </w:t>
      </w:r>
      <w:r w:rsidR="00963329">
        <w:rPr>
          <w:rFonts w:eastAsia="Calibri"/>
          <w:color w:val="auto"/>
          <w:szCs w:val="24"/>
        </w:rPr>
        <w:t xml:space="preserve">из </w:t>
      </w:r>
      <w:r>
        <w:rPr>
          <w:rFonts w:eastAsia="Calibri"/>
          <w:color w:val="auto"/>
          <w:szCs w:val="24"/>
        </w:rPr>
        <w:t>представленных адвокатом письменны</w:t>
      </w:r>
      <w:r w:rsidR="009B2FD3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 xml:space="preserve"> объяснени</w:t>
      </w:r>
      <w:r w:rsidR="009B2FD3">
        <w:rPr>
          <w:rFonts w:eastAsia="Calibri"/>
          <w:color w:val="auto"/>
          <w:szCs w:val="24"/>
        </w:rPr>
        <w:t>й</w:t>
      </w:r>
      <w:r>
        <w:rPr>
          <w:rFonts w:eastAsia="Calibri"/>
          <w:color w:val="auto"/>
          <w:szCs w:val="24"/>
        </w:rPr>
        <w:t xml:space="preserve"> следует, что </w:t>
      </w:r>
      <w:r w:rsidR="009B2FD3">
        <w:rPr>
          <w:rFonts w:eastAsia="Calibri"/>
          <w:color w:val="auto"/>
          <w:szCs w:val="24"/>
        </w:rPr>
        <w:t>за длительный период осуществления защиты по уголовному делу, адвокат действовала</w:t>
      </w:r>
      <w:r w:rsidR="00DE744D">
        <w:rPr>
          <w:rFonts w:eastAsia="Calibri"/>
          <w:color w:val="auto"/>
          <w:szCs w:val="24"/>
        </w:rPr>
        <w:t>,</w:t>
      </w:r>
      <w:r w:rsidR="009B2FD3">
        <w:rPr>
          <w:rFonts w:eastAsia="Calibri"/>
          <w:color w:val="auto"/>
          <w:szCs w:val="24"/>
        </w:rPr>
        <w:t xml:space="preserve"> исходя из признательной позиции заявителя</w:t>
      </w:r>
      <w:r>
        <w:t>,</w:t>
      </w:r>
      <w:r w:rsidR="009B2FD3">
        <w:t xml:space="preserve"> осуществила определенный объем работы по уголовному делу, связанный с участием в следственных и </w:t>
      </w:r>
      <w:r w:rsidR="00963329">
        <w:t>процессуальных действиях и т.п. Кроме того, заявитель изначально</w:t>
      </w:r>
      <w:r w:rsidR="009B2FD3">
        <w:t xml:space="preserve"> заявил адвокату об отсутствии оснований для самооговора и своей признательной позиции по уголовному делу.</w:t>
      </w:r>
    </w:p>
    <w:p w:rsidR="00763550" w:rsidRPr="00823094" w:rsidRDefault="00725A04" w:rsidP="00763550">
      <w:pPr>
        <w:ind w:firstLine="708"/>
        <w:jc w:val="both"/>
        <w:rPr>
          <w:rFonts w:eastAsia="Calibri"/>
          <w:szCs w:val="24"/>
        </w:rPr>
      </w:pPr>
      <w:r>
        <w:t>Необходимо отметить, что ранее</w:t>
      </w:r>
      <w:r w:rsidR="00DE744D">
        <w:t xml:space="preserve">, </w:t>
      </w:r>
      <w:r w:rsidR="00763550" w:rsidRPr="00823094">
        <w:rPr>
          <w:szCs w:val="24"/>
        </w:rPr>
        <w:t>30.01.2020г.</w:t>
      </w:r>
      <w:r w:rsidR="00DE744D">
        <w:rPr>
          <w:szCs w:val="24"/>
        </w:rPr>
        <w:t>,</w:t>
      </w:r>
      <w:r w:rsidR="00763550" w:rsidRPr="00823094">
        <w:rPr>
          <w:szCs w:val="24"/>
        </w:rPr>
        <w:t xml:space="preserve"> квалификационная комиссия </w:t>
      </w:r>
      <w:r w:rsidR="00763550" w:rsidRPr="00B73076">
        <w:rPr>
          <w:szCs w:val="24"/>
        </w:rPr>
        <w:t xml:space="preserve">дала заключение о </w:t>
      </w:r>
      <w:r w:rsidR="00763550" w:rsidRPr="00B73076">
        <w:rPr>
          <w:rFonts w:eastAsia="Calibri"/>
          <w:szCs w:val="24"/>
        </w:rPr>
        <w:t xml:space="preserve">необходимости прекращения дисциплинарного производства </w:t>
      </w:r>
      <w:r w:rsidR="00763550" w:rsidRPr="00B73076">
        <w:rPr>
          <w:szCs w:val="24"/>
        </w:rPr>
        <w:t xml:space="preserve">в отношении адвоката </w:t>
      </w:r>
      <w:r w:rsidR="002546C9">
        <w:rPr>
          <w:szCs w:val="24"/>
        </w:rPr>
        <w:t>У.Т.А.</w:t>
      </w:r>
      <w:r w:rsidR="00763550" w:rsidRPr="00B73076">
        <w:rPr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2546C9">
        <w:rPr>
          <w:szCs w:val="24"/>
        </w:rPr>
        <w:t>Д.</w:t>
      </w:r>
      <w:r w:rsidR="00763550" w:rsidRPr="00B73076">
        <w:rPr>
          <w:szCs w:val="24"/>
        </w:rPr>
        <w:t>А.А.</w:t>
      </w:r>
    </w:p>
    <w:p w:rsidR="00963329" w:rsidRDefault="00AB02C9" w:rsidP="00763550">
      <w:pPr>
        <w:ind w:firstLine="708"/>
        <w:jc w:val="both"/>
        <w:rPr>
          <w:szCs w:val="24"/>
        </w:rPr>
      </w:pPr>
      <w:r>
        <w:t xml:space="preserve"> Причиной для </w:t>
      </w:r>
      <w:r w:rsidR="00763550">
        <w:t>возбуждения</w:t>
      </w:r>
      <w:r>
        <w:t xml:space="preserve"> данного дисциплинарного производства являлась жалоба </w:t>
      </w:r>
      <w:r w:rsidR="002546C9">
        <w:t>Д.</w:t>
      </w:r>
      <w:r w:rsidR="00763550">
        <w:t xml:space="preserve">А.А., являющейся </w:t>
      </w:r>
      <w:r w:rsidR="00725A04">
        <w:t>гражданской супругой</w:t>
      </w:r>
      <w:r w:rsidR="00763550">
        <w:t xml:space="preserve"> </w:t>
      </w:r>
      <w:r w:rsidR="002546C9">
        <w:t>Ш.</w:t>
      </w:r>
      <w:r w:rsidR="00763550">
        <w:t xml:space="preserve">В.И., </w:t>
      </w:r>
      <w:proofErr w:type="gramStart"/>
      <w:r w:rsidR="00763550">
        <w:t>который</w:t>
      </w:r>
      <w:proofErr w:type="gramEnd"/>
      <w:r w:rsidR="00763550">
        <w:t xml:space="preserve"> является заявителем в данном дисциплинарном производстве. </w:t>
      </w:r>
      <w:proofErr w:type="gramStart"/>
      <w:r w:rsidR="00763550">
        <w:t xml:space="preserve">Исходя из содержания жалобы </w:t>
      </w:r>
      <w:r w:rsidR="002546C9">
        <w:t>Д.</w:t>
      </w:r>
      <w:r w:rsidR="00763550">
        <w:t xml:space="preserve">А.А., </w:t>
      </w:r>
      <w:r w:rsidR="00763550" w:rsidRPr="00B73076">
        <w:rPr>
          <w:szCs w:val="24"/>
        </w:rPr>
        <w:t>адвокат</w:t>
      </w:r>
      <w:r w:rsidR="00763550">
        <w:rPr>
          <w:szCs w:val="24"/>
        </w:rPr>
        <w:t xml:space="preserve">, принявший на себе поручение на защиту </w:t>
      </w:r>
      <w:r w:rsidR="002546C9">
        <w:rPr>
          <w:szCs w:val="24"/>
        </w:rPr>
        <w:t>Ш.</w:t>
      </w:r>
      <w:r w:rsidR="00763550">
        <w:rPr>
          <w:szCs w:val="24"/>
        </w:rPr>
        <w:t>В.И.,</w:t>
      </w:r>
      <w:r w:rsidR="00763550" w:rsidRPr="00B73076">
        <w:rPr>
          <w:szCs w:val="24"/>
        </w:rPr>
        <w:t xml:space="preserve"> ненадлежащим образом исполняла свои профессиональные обязанности, а именно: не выдала заявителю оригинал соглашения, получила денежные средства в размере 20 000 руб. без оформления финансовых документов, фактически не приступила к исполнению соглашения, после его расторжения отказалась вернуть доверителю неотработанную часть гонорара.</w:t>
      </w:r>
      <w:proofErr w:type="gramEnd"/>
    </w:p>
    <w:p w:rsidR="00763550" w:rsidRPr="00763550" w:rsidRDefault="00763550" w:rsidP="00763550">
      <w:pPr>
        <w:ind w:firstLine="708"/>
        <w:jc w:val="both"/>
        <w:rPr>
          <w:szCs w:val="24"/>
        </w:rPr>
      </w:pPr>
      <w:r>
        <w:rPr>
          <w:szCs w:val="24"/>
        </w:rPr>
        <w:t xml:space="preserve">В данной связи комиссия отмечает пересечение содержания жалоб, на основании которых были возбуждены дисциплинарные производства в отношении адвоката. </w:t>
      </w:r>
      <w:r w:rsidR="002008B4">
        <w:rPr>
          <w:szCs w:val="24"/>
        </w:rPr>
        <w:t>Производство по жалобе 30.01.2020 г. было прекращено по основаниям, отмеченным выше. При этом, предмет, объем и содержание обвинения в части неисполнения поручения, невыдачи экземпляра соглашения и финансовых нарушений является аналогичным.</w:t>
      </w:r>
    </w:p>
    <w:p w:rsidR="003B65A0" w:rsidRDefault="003B65A0" w:rsidP="003B65A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комиссия неоднократно ранее отмечала, что являясь независимым профессиональным советн</w:t>
      </w:r>
      <w:r w:rsidR="00DE744D">
        <w:rPr>
          <w:rFonts w:eastAsia="Calibri"/>
          <w:color w:val="auto"/>
          <w:szCs w:val="24"/>
        </w:rPr>
        <w:t>иком по правовым вопросам (абз.1 п.1 ст.</w:t>
      </w:r>
      <w:r>
        <w:rPr>
          <w:rFonts w:eastAsia="Calibri"/>
          <w:color w:val="auto"/>
          <w:szCs w:val="24"/>
        </w:rPr>
        <w:t xml:space="preserve">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</w:t>
      </w:r>
      <w:r>
        <w:rPr>
          <w:rFonts w:eastAsia="Calibri"/>
          <w:color w:val="auto"/>
          <w:szCs w:val="24"/>
        </w:rPr>
        <w:lastRenderedPageBreak/>
        <w:t>защиты прав и законных интересов доверителя. Границами такой самостоятель</w:t>
      </w:r>
      <w:r w:rsidR="00DE744D">
        <w:rPr>
          <w:rFonts w:eastAsia="Calibri"/>
          <w:color w:val="auto"/>
          <w:szCs w:val="24"/>
        </w:rPr>
        <w:t>ности выступают требования п.п.1 п.1 ст.</w:t>
      </w:r>
      <w:r>
        <w:rPr>
          <w:rFonts w:eastAsia="Calibri"/>
          <w:color w:val="auto"/>
          <w:szCs w:val="24"/>
        </w:rPr>
        <w:t>7 ФЗ «Об адвокатской деятельности и адвокатуре в РФ», п</w:t>
      </w:r>
      <w:r w:rsidR="00DE744D">
        <w:rPr>
          <w:rFonts w:eastAsia="Calibri"/>
          <w:color w:val="auto"/>
          <w:szCs w:val="24"/>
        </w:rPr>
        <w:t>.1 ст.</w:t>
      </w:r>
      <w:r>
        <w:rPr>
          <w:rFonts w:eastAsia="Calibri"/>
          <w:color w:val="auto"/>
          <w:szCs w:val="24"/>
        </w:rPr>
        <w:t>8 Кодекса профессиональной этики адвоката, а также нормы соответствующего процессуального законодательства.</w:t>
      </w:r>
    </w:p>
    <w:p w:rsidR="003B65A0" w:rsidRDefault="003B65A0" w:rsidP="003B65A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</w:t>
      </w:r>
      <w:r w:rsidR="00400CEC">
        <w:rPr>
          <w:rFonts w:eastAsia="Calibri"/>
          <w:color w:val="auto"/>
          <w:szCs w:val="24"/>
        </w:rPr>
        <w:t>тником по правовым вопросам (п.1 ст.</w:t>
      </w:r>
      <w:r>
        <w:rPr>
          <w:rFonts w:eastAsia="Calibri"/>
          <w:color w:val="auto"/>
          <w:szCs w:val="24"/>
        </w:rPr>
        <w:t>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3B65A0" w:rsidRDefault="003B65A0" w:rsidP="003B65A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:rsidR="003B65A0" w:rsidRPr="00A63FEE" w:rsidRDefault="003B65A0" w:rsidP="003B65A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2546C9">
        <w:rPr>
          <w:rFonts w:eastAsia="Calibri"/>
          <w:color w:val="auto"/>
          <w:szCs w:val="24"/>
        </w:rPr>
        <w:t>У.</w:t>
      </w:r>
      <w:r w:rsidR="009B2FD3">
        <w:rPr>
          <w:rFonts w:eastAsia="Calibri"/>
          <w:color w:val="auto"/>
          <w:szCs w:val="24"/>
        </w:rPr>
        <w:t>Т.А.</w:t>
      </w:r>
      <w:r>
        <w:rPr>
          <w:rFonts w:eastAsia="Calibri"/>
          <w:color w:val="auto"/>
          <w:szCs w:val="24"/>
        </w:rPr>
        <w:t xml:space="preserve">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3B65A0" w:rsidRDefault="003B65A0" w:rsidP="00963329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2546C9">
        <w:rPr>
          <w:sz w:val="24"/>
          <w:szCs w:val="24"/>
        </w:rPr>
        <w:t>У.</w:t>
      </w:r>
      <w:r w:rsidR="00BC130C" w:rsidRPr="00BC130C">
        <w:rPr>
          <w:sz w:val="24"/>
          <w:szCs w:val="24"/>
        </w:rPr>
        <w:t>Т.А.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</w:t>
      </w:r>
      <w:r w:rsidR="00963329">
        <w:rPr>
          <w:sz w:val="24"/>
          <w:szCs w:val="24"/>
        </w:rPr>
        <w:t xml:space="preserve">еред доверителем </w:t>
      </w:r>
      <w:r w:rsidR="002546C9">
        <w:rPr>
          <w:sz w:val="24"/>
          <w:szCs w:val="24"/>
        </w:rPr>
        <w:t>Ш.</w:t>
      </w:r>
      <w:r w:rsidR="00963329">
        <w:rPr>
          <w:sz w:val="24"/>
          <w:szCs w:val="24"/>
        </w:rPr>
        <w:t>В.И.</w:t>
      </w:r>
    </w:p>
    <w:p w:rsidR="003B65A0" w:rsidRDefault="003B65A0" w:rsidP="003B65A0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</w:t>
      </w:r>
      <w:r w:rsidR="00400CEC">
        <w:rPr>
          <w:sz w:val="24"/>
          <w:szCs w:val="24"/>
        </w:rPr>
        <w:t>п.</w:t>
      </w:r>
      <w:r>
        <w:rPr>
          <w:sz w:val="24"/>
          <w:szCs w:val="24"/>
        </w:rPr>
        <w:t xml:space="preserve">9 ст.23 Кодекса профессиональной этики адвоката, Квалификационная комиссия Адвокатской палаты Московской области дает </w:t>
      </w:r>
    </w:p>
    <w:p w:rsidR="003B65A0" w:rsidRDefault="003B65A0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</w:p>
    <w:p w:rsidR="0054439C" w:rsidRPr="009E7F67" w:rsidRDefault="0054439C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9E7F67">
        <w:rPr>
          <w:rFonts w:eastAsia="Calibri"/>
          <w:b/>
          <w:color w:val="auto"/>
          <w:szCs w:val="24"/>
        </w:rPr>
        <w:t>ЗАКЛЮЧЕНИЕ:</w:t>
      </w:r>
    </w:p>
    <w:p w:rsidR="0054439C" w:rsidRPr="009E7F67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:rsidR="0054439C" w:rsidRPr="009E7F67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9E7F67">
        <w:rPr>
          <w:rFonts w:eastAsia="Calibri"/>
          <w:color w:val="auto"/>
          <w:szCs w:val="24"/>
        </w:rPr>
        <w:tab/>
        <w:t xml:space="preserve">- о необходимости прекращения дисциплинарного производства в отношении адвоката </w:t>
      </w:r>
      <w:r w:rsidR="002546C9">
        <w:rPr>
          <w:szCs w:val="24"/>
        </w:rPr>
        <w:t>У.Т.А.</w:t>
      </w:r>
      <w:r w:rsidR="00400CEC" w:rsidRPr="00400CEC">
        <w:rPr>
          <w:szCs w:val="24"/>
        </w:rPr>
        <w:t xml:space="preserve"> </w:t>
      </w:r>
      <w:r w:rsidR="00963329">
        <w:rPr>
          <w:rFonts w:eastAsia="Calibri"/>
          <w:color w:val="auto"/>
          <w:szCs w:val="24"/>
        </w:rPr>
        <w:t>ввиду отсутствия в ее</w:t>
      </w:r>
      <w:r w:rsidRPr="00BC130C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</w:t>
      </w:r>
      <w:r w:rsidRPr="009E7F67">
        <w:rPr>
          <w:rFonts w:eastAsia="Calibri"/>
          <w:color w:val="auto"/>
          <w:szCs w:val="24"/>
        </w:rPr>
        <w:t xml:space="preserve">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2546C9">
        <w:rPr>
          <w:color w:val="auto"/>
        </w:rPr>
        <w:t>Ш.</w:t>
      </w:r>
      <w:r w:rsidR="00BC130C">
        <w:rPr>
          <w:color w:val="auto"/>
        </w:rPr>
        <w:t>В.И.</w:t>
      </w:r>
    </w:p>
    <w:p w:rsidR="00CE343D" w:rsidRPr="009E7F67" w:rsidRDefault="00CE343D" w:rsidP="001C2B6F">
      <w:pPr>
        <w:jc w:val="both"/>
        <w:rPr>
          <w:color w:val="auto"/>
          <w:szCs w:val="24"/>
        </w:rPr>
      </w:pPr>
    </w:p>
    <w:p w:rsidR="00E804DB" w:rsidRPr="009E7F67" w:rsidRDefault="00E804DB" w:rsidP="001C2B6F">
      <w:pPr>
        <w:jc w:val="both"/>
        <w:rPr>
          <w:rFonts w:eastAsia="Calibri"/>
          <w:color w:val="auto"/>
          <w:szCs w:val="24"/>
        </w:rPr>
      </w:pPr>
    </w:p>
    <w:p w:rsidR="00A23A94" w:rsidRPr="009E7F67" w:rsidRDefault="00A23A94" w:rsidP="001C2B6F">
      <w:pPr>
        <w:jc w:val="both"/>
        <w:rPr>
          <w:rFonts w:eastAsia="Calibri"/>
          <w:color w:val="auto"/>
          <w:szCs w:val="24"/>
        </w:rPr>
      </w:pPr>
    </w:p>
    <w:p w:rsidR="001C2B6F" w:rsidRPr="009E7F67" w:rsidRDefault="00E804DB" w:rsidP="001C2B6F">
      <w:pPr>
        <w:jc w:val="both"/>
        <w:rPr>
          <w:rFonts w:eastAsia="Calibri"/>
          <w:color w:val="auto"/>
          <w:szCs w:val="24"/>
        </w:rPr>
      </w:pPr>
      <w:r w:rsidRPr="009E7F67">
        <w:rPr>
          <w:rFonts w:eastAsia="Calibri"/>
          <w:color w:val="auto"/>
          <w:szCs w:val="24"/>
        </w:rPr>
        <w:t>П</w:t>
      </w:r>
      <w:r w:rsidR="001C2B6F" w:rsidRPr="009E7F67">
        <w:rPr>
          <w:rFonts w:eastAsia="Calibri"/>
          <w:color w:val="auto"/>
          <w:szCs w:val="24"/>
        </w:rPr>
        <w:t>редседател</w:t>
      </w:r>
      <w:r w:rsidRPr="009E7F67">
        <w:rPr>
          <w:rFonts w:eastAsia="Calibri"/>
          <w:color w:val="auto"/>
          <w:szCs w:val="24"/>
        </w:rPr>
        <w:t>ь</w:t>
      </w:r>
      <w:r w:rsidR="001C2B6F" w:rsidRPr="009E7F67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9E7F67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9E7F67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76" w:rsidRDefault="00F11176">
      <w:r>
        <w:separator/>
      </w:r>
    </w:p>
  </w:endnote>
  <w:endnote w:type="continuationSeparator" w:id="0">
    <w:p w:rsidR="00F11176" w:rsidRDefault="00F1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76" w:rsidRDefault="00F11176">
      <w:r>
        <w:separator/>
      </w:r>
    </w:p>
  </w:footnote>
  <w:footnote w:type="continuationSeparator" w:id="0">
    <w:p w:rsidR="00F11176" w:rsidRDefault="00F1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A1296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546C9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2189A"/>
    <w:multiLevelType w:val="hybridMultilevel"/>
    <w:tmpl w:val="07B8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13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102F"/>
    <w:rsid w:val="000F382A"/>
    <w:rsid w:val="000F73E1"/>
    <w:rsid w:val="00101067"/>
    <w:rsid w:val="00105C25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F2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8B4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46C9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4762E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3787"/>
    <w:rsid w:val="003956F6"/>
    <w:rsid w:val="00395D6E"/>
    <w:rsid w:val="00397846"/>
    <w:rsid w:val="003A0D4E"/>
    <w:rsid w:val="003A3BF7"/>
    <w:rsid w:val="003A7121"/>
    <w:rsid w:val="003B2E50"/>
    <w:rsid w:val="003B65A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CEC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0042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3D22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C7822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36C9"/>
    <w:rsid w:val="00725057"/>
    <w:rsid w:val="00725A04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D5"/>
    <w:rsid w:val="00762DD3"/>
    <w:rsid w:val="007632E8"/>
    <w:rsid w:val="00763550"/>
    <w:rsid w:val="00764262"/>
    <w:rsid w:val="007645C4"/>
    <w:rsid w:val="00764C08"/>
    <w:rsid w:val="00765B72"/>
    <w:rsid w:val="00765BF8"/>
    <w:rsid w:val="0076672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4CE"/>
    <w:rsid w:val="00832813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329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B2FD3"/>
    <w:rsid w:val="009C2E22"/>
    <w:rsid w:val="009C4A8C"/>
    <w:rsid w:val="009D184A"/>
    <w:rsid w:val="009D2B4D"/>
    <w:rsid w:val="009D4D48"/>
    <w:rsid w:val="009E0356"/>
    <w:rsid w:val="009E4221"/>
    <w:rsid w:val="009E7387"/>
    <w:rsid w:val="009E7F6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296F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5DDE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2C9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30C"/>
    <w:rsid w:val="00BC19C3"/>
    <w:rsid w:val="00BC202A"/>
    <w:rsid w:val="00BC2D7B"/>
    <w:rsid w:val="00BC2EA8"/>
    <w:rsid w:val="00BC5721"/>
    <w:rsid w:val="00BC64E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E744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08C3"/>
    <w:rsid w:val="00E6186C"/>
    <w:rsid w:val="00E648C1"/>
    <w:rsid w:val="00E66539"/>
    <w:rsid w:val="00E66FC4"/>
    <w:rsid w:val="00E6738A"/>
    <w:rsid w:val="00E734AA"/>
    <w:rsid w:val="00E77103"/>
    <w:rsid w:val="00E804DB"/>
    <w:rsid w:val="00E80C63"/>
    <w:rsid w:val="00E820AE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1176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E608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D075-E8D3-48B0-818F-FE660A2C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2021-04-08T09:38:00Z</dcterms:created>
  <dcterms:modified xsi:type="dcterms:W3CDTF">2022-03-21T12:23:00Z</dcterms:modified>
</cp:coreProperties>
</file>